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tabs>
          <w:tab w:pos="3837" w:val="left" w:leader="none"/>
        </w:tabs>
      </w:pPr>
      <w:r>
        <w:rPr>
          <w:color w:val="361E00"/>
        </w:rPr>
        <w:t>M</w:t>
      </w:r>
      <w:r>
        <w:rPr>
          <w:color w:val="361E00"/>
          <w:spacing w:val="31"/>
        </w:rPr>
        <w:t> </w:t>
      </w:r>
      <w:r>
        <w:rPr>
          <w:color w:val="361E00"/>
        </w:rPr>
        <w:t>O</w:t>
      </w:r>
      <w:r>
        <w:rPr>
          <w:color w:val="361E00"/>
          <w:spacing w:val="30"/>
        </w:rPr>
        <w:t> </w:t>
      </w:r>
      <w:r>
        <w:rPr>
          <w:color w:val="361E00"/>
        </w:rPr>
        <w:t>U</w:t>
      </w:r>
      <w:r>
        <w:rPr>
          <w:color w:val="361E00"/>
          <w:spacing w:val="38"/>
        </w:rPr>
        <w:t> </w:t>
      </w:r>
      <w:r>
        <w:rPr>
          <w:color w:val="361E00"/>
        </w:rPr>
        <w:t>T</w:t>
      </w:r>
      <w:r>
        <w:rPr>
          <w:color w:val="361E00"/>
          <w:spacing w:val="34"/>
        </w:rPr>
        <w:t> </w:t>
      </w:r>
      <w:r>
        <w:rPr>
          <w:color w:val="361E00"/>
          <w:spacing w:val="-10"/>
        </w:rPr>
        <w:t>H</w:t>
      </w:r>
      <w:r>
        <w:rPr>
          <w:color w:val="361E00"/>
        </w:rPr>
        <w:tab/>
        <w:t>L</w:t>
      </w:r>
      <w:r>
        <w:rPr>
          <w:color w:val="361E00"/>
          <w:spacing w:val="32"/>
        </w:rPr>
        <w:t> </w:t>
      </w:r>
      <w:r>
        <w:rPr>
          <w:color w:val="361E00"/>
        </w:rPr>
        <w:t>E</w:t>
      </w:r>
      <w:r>
        <w:rPr>
          <w:color w:val="361E00"/>
          <w:spacing w:val="33"/>
        </w:rPr>
        <w:t> </w:t>
      </w:r>
      <w:r>
        <w:rPr>
          <w:color w:val="361E00"/>
        </w:rPr>
        <w:t>S</w:t>
      </w:r>
      <w:r>
        <w:rPr>
          <w:color w:val="361E00"/>
          <w:spacing w:val="28"/>
        </w:rPr>
        <w:t> </w:t>
      </w:r>
      <w:r>
        <w:rPr>
          <w:color w:val="361E00"/>
        </w:rPr>
        <w:t>I</w:t>
      </w:r>
      <w:r>
        <w:rPr>
          <w:color w:val="361E00"/>
          <w:spacing w:val="28"/>
        </w:rPr>
        <w:t> </w:t>
      </w:r>
      <w:r>
        <w:rPr>
          <w:color w:val="361E00"/>
        </w:rPr>
        <w:t>O</w:t>
      </w:r>
      <w:r>
        <w:rPr>
          <w:color w:val="361E00"/>
          <w:spacing w:val="28"/>
        </w:rPr>
        <w:t> </w:t>
      </w:r>
      <w:r>
        <w:rPr>
          <w:color w:val="361E00"/>
        </w:rPr>
        <w:t>N</w:t>
      </w:r>
      <w:r>
        <w:rPr>
          <w:color w:val="361E00"/>
          <w:spacing w:val="33"/>
        </w:rPr>
        <w:t> </w:t>
      </w:r>
      <w:r>
        <w:rPr>
          <w:color w:val="361E00"/>
        </w:rPr>
        <w:t>S</w:t>
      </w:r>
      <w:r>
        <w:rPr>
          <w:color w:val="361E00"/>
          <w:spacing w:val="33"/>
        </w:rPr>
        <w:t> </w:t>
      </w:r>
      <w:r>
        <w:rPr>
          <w:color w:val="361E00"/>
          <w:spacing w:val="-10"/>
        </w:rPr>
        <w:t>:</w:t>
      </w:r>
    </w:p>
    <w:p>
      <w:pPr>
        <w:tabs>
          <w:tab w:pos="3915" w:val="left" w:leader="none"/>
        </w:tabs>
        <w:spacing w:line="447" w:lineRule="exact" w:before="0"/>
        <w:ind w:left="1140" w:right="0" w:firstLine="0"/>
        <w:jc w:val="center"/>
        <w:rPr>
          <w:rFonts w:ascii="Palatino Linotype"/>
          <w:b/>
          <w:sz w:val="34"/>
        </w:rPr>
      </w:pPr>
      <w:r>
        <w:rPr>
          <w:rFonts w:ascii="Palatino Linotype"/>
          <w:b/>
          <w:color w:val="361E00"/>
          <w:sz w:val="34"/>
        </w:rPr>
        <w:t>C</w:t>
      </w:r>
      <w:r>
        <w:rPr>
          <w:rFonts w:ascii="Palatino Linotype"/>
          <w:b/>
          <w:color w:val="361E00"/>
          <w:spacing w:val="33"/>
          <w:sz w:val="34"/>
        </w:rPr>
        <w:t> </w:t>
      </w:r>
      <w:r>
        <w:rPr>
          <w:rFonts w:ascii="Palatino Linotype"/>
          <w:b/>
          <w:color w:val="361E00"/>
          <w:sz w:val="34"/>
        </w:rPr>
        <w:t>O</w:t>
      </w:r>
      <w:r>
        <w:rPr>
          <w:rFonts w:ascii="Palatino Linotype"/>
          <w:b/>
          <w:color w:val="361E00"/>
          <w:spacing w:val="27"/>
          <w:sz w:val="34"/>
        </w:rPr>
        <w:t> </w:t>
      </w:r>
      <w:r>
        <w:rPr>
          <w:rFonts w:ascii="Palatino Linotype"/>
          <w:b/>
          <w:color w:val="361E00"/>
          <w:sz w:val="34"/>
        </w:rPr>
        <w:t>L</w:t>
      </w:r>
      <w:r>
        <w:rPr>
          <w:rFonts w:ascii="Palatino Linotype"/>
          <w:b/>
          <w:color w:val="361E00"/>
          <w:spacing w:val="31"/>
          <w:sz w:val="34"/>
        </w:rPr>
        <w:t> </w:t>
      </w:r>
      <w:r>
        <w:rPr>
          <w:rFonts w:ascii="Palatino Linotype"/>
          <w:b/>
          <w:color w:val="361E00"/>
          <w:sz w:val="34"/>
        </w:rPr>
        <w:t>O</w:t>
      </w:r>
      <w:r>
        <w:rPr>
          <w:rFonts w:ascii="Palatino Linotype"/>
          <w:b/>
          <w:color w:val="361E00"/>
          <w:spacing w:val="27"/>
          <w:sz w:val="34"/>
        </w:rPr>
        <w:t> </w:t>
      </w:r>
      <w:r>
        <w:rPr>
          <w:rFonts w:ascii="Palatino Linotype"/>
          <w:b/>
          <w:color w:val="361E00"/>
          <w:sz w:val="34"/>
        </w:rPr>
        <w:t>R</w:t>
      </w:r>
      <w:r>
        <w:rPr>
          <w:rFonts w:ascii="Palatino Linotype"/>
          <w:b/>
          <w:color w:val="361E00"/>
          <w:spacing w:val="31"/>
          <w:sz w:val="34"/>
        </w:rPr>
        <w:t> </w:t>
      </w:r>
      <w:r>
        <w:rPr>
          <w:rFonts w:ascii="Palatino Linotype"/>
          <w:b/>
          <w:color w:val="361E00"/>
          <w:sz w:val="34"/>
        </w:rPr>
        <w:t>E</w:t>
      </w:r>
      <w:r>
        <w:rPr>
          <w:rFonts w:ascii="Palatino Linotype"/>
          <w:b/>
          <w:color w:val="361E00"/>
          <w:spacing w:val="31"/>
          <w:sz w:val="34"/>
        </w:rPr>
        <w:t> </w:t>
      </w:r>
      <w:r>
        <w:rPr>
          <w:rFonts w:ascii="Palatino Linotype"/>
          <w:b/>
          <w:color w:val="361E00"/>
          <w:spacing w:val="-10"/>
          <w:sz w:val="34"/>
        </w:rPr>
        <w:t>D</w:t>
      </w:r>
      <w:r>
        <w:rPr>
          <w:rFonts w:ascii="Palatino Linotype"/>
          <w:b/>
          <w:color w:val="361E00"/>
          <w:sz w:val="34"/>
        </w:rPr>
        <w:tab/>
        <w:t>A</w:t>
      </w:r>
      <w:r>
        <w:rPr>
          <w:rFonts w:ascii="Palatino Linotype"/>
          <w:b/>
          <w:color w:val="361E00"/>
          <w:spacing w:val="30"/>
          <w:sz w:val="34"/>
        </w:rPr>
        <w:t> </w:t>
      </w:r>
      <w:r>
        <w:rPr>
          <w:rFonts w:ascii="Palatino Linotype"/>
          <w:b/>
          <w:color w:val="361E00"/>
          <w:sz w:val="34"/>
        </w:rPr>
        <w:t>R</w:t>
      </w:r>
      <w:r>
        <w:rPr>
          <w:rFonts w:ascii="Palatino Linotype"/>
          <w:b/>
          <w:color w:val="361E00"/>
          <w:spacing w:val="30"/>
          <w:sz w:val="34"/>
        </w:rPr>
        <w:t> </w:t>
      </w:r>
      <w:r>
        <w:rPr>
          <w:rFonts w:ascii="Palatino Linotype"/>
          <w:b/>
          <w:color w:val="361E00"/>
          <w:sz w:val="34"/>
        </w:rPr>
        <w:t>E</w:t>
      </w:r>
      <w:r>
        <w:rPr>
          <w:rFonts w:ascii="Palatino Linotype"/>
          <w:b/>
          <w:color w:val="361E00"/>
          <w:spacing w:val="30"/>
          <w:sz w:val="34"/>
        </w:rPr>
        <w:t> </w:t>
      </w:r>
      <w:r>
        <w:rPr>
          <w:rFonts w:ascii="Palatino Linotype"/>
          <w:b/>
          <w:color w:val="361E00"/>
          <w:sz w:val="34"/>
        </w:rPr>
        <w:t>A</w:t>
      </w:r>
      <w:r>
        <w:rPr>
          <w:rFonts w:ascii="Palatino Linotype"/>
          <w:b/>
          <w:color w:val="361E00"/>
          <w:spacing w:val="26"/>
          <w:sz w:val="34"/>
        </w:rPr>
        <w:t> </w:t>
      </w:r>
      <w:r>
        <w:rPr>
          <w:rFonts w:ascii="Palatino Linotype"/>
          <w:b/>
          <w:color w:val="361E00"/>
          <w:spacing w:val="-10"/>
          <w:sz w:val="34"/>
        </w:rPr>
        <w:t>S</w:t>
      </w:r>
    </w:p>
    <w:p>
      <w:pPr>
        <w:spacing w:line="266" w:lineRule="auto" w:before="152"/>
        <w:ind w:left="2191" w:right="1049" w:firstLine="0"/>
        <w:jc w:val="center"/>
        <w:rPr>
          <w:sz w:val="22"/>
        </w:rPr>
      </w:pPr>
      <w:r>
        <w:rPr>
          <w:color w:val="361E00"/>
          <w:w w:val="105"/>
          <w:sz w:val="22"/>
        </w:rPr>
        <w:t>Mouth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Lesions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(or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colored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areas)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can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be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red/purple,</w:t>
      </w:r>
      <w:r>
        <w:rPr>
          <w:color w:val="361E00"/>
          <w:spacing w:val="-4"/>
          <w:w w:val="105"/>
          <w:sz w:val="22"/>
        </w:rPr>
        <w:t> </w:t>
      </w:r>
      <w:r>
        <w:rPr>
          <w:color w:val="361E00"/>
          <w:w w:val="105"/>
          <w:sz w:val="22"/>
        </w:rPr>
        <w:t>brown,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or</w:t>
      </w:r>
      <w:r>
        <w:rPr>
          <w:color w:val="361E00"/>
          <w:spacing w:val="-3"/>
          <w:w w:val="105"/>
          <w:sz w:val="22"/>
        </w:rPr>
        <w:t> </w:t>
      </w:r>
      <w:r>
        <w:rPr>
          <w:color w:val="361E00"/>
          <w:w w:val="105"/>
          <w:sz w:val="22"/>
        </w:rPr>
        <w:t>black. </w:t>
      </w:r>
      <w:r>
        <w:rPr>
          <w:color w:val="361E00"/>
          <w:w w:val="110"/>
          <w:sz w:val="22"/>
        </w:rPr>
        <w:t>They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are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more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common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in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people</w:t>
      </w:r>
      <w:r>
        <w:rPr>
          <w:color w:val="361E00"/>
          <w:spacing w:val="-16"/>
          <w:w w:val="110"/>
          <w:sz w:val="22"/>
        </w:rPr>
        <w:t> </w:t>
      </w:r>
      <w:r>
        <w:rPr>
          <w:color w:val="361E00"/>
          <w:w w:val="110"/>
          <w:sz w:val="22"/>
        </w:rPr>
        <w:t>over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60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and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are</w:t>
      </w:r>
      <w:r>
        <w:rPr>
          <w:color w:val="361E00"/>
          <w:spacing w:val="-17"/>
          <w:w w:val="110"/>
          <w:sz w:val="22"/>
        </w:rPr>
        <w:t> </w:t>
      </w:r>
      <w:r>
        <w:rPr>
          <w:color w:val="361E00"/>
          <w:w w:val="110"/>
          <w:sz w:val="22"/>
        </w:rPr>
        <w:t>typically</w:t>
      </w:r>
      <w:r>
        <w:rPr>
          <w:color w:val="361E00"/>
          <w:spacing w:val="-16"/>
          <w:w w:val="110"/>
          <w:sz w:val="22"/>
        </w:rPr>
        <w:t> </w:t>
      </w:r>
      <w:r>
        <w:rPr>
          <w:color w:val="361E00"/>
          <w:w w:val="110"/>
          <w:sz w:val="22"/>
        </w:rPr>
        <w:t>located either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under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the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tongue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or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at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the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back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of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the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roof</w:t>
      </w:r>
      <w:r>
        <w:rPr>
          <w:color w:val="361E00"/>
          <w:spacing w:val="-3"/>
          <w:w w:val="110"/>
          <w:sz w:val="22"/>
        </w:rPr>
        <w:t> </w:t>
      </w:r>
      <w:r>
        <w:rPr>
          <w:color w:val="361E00"/>
          <w:w w:val="110"/>
          <w:sz w:val="22"/>
        </w:rPr>
        <w:t>of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the</w:t>
      </w:r>
      <w:r>
        <w:rPr>
          <w:color w:val="361E00"/>
          <w:spacing w:val="-2"/>
          <w:w w:val="110"/>
          <w:sz w:val="22"/>
        </w:rPr>
        <w:t> </w:t>
      </w:r>
      <w:r>
        <w:rPr>
          <w:color w:val="361E00"/>
          <w:w w:val="110"/>
          <w:sz w:val="22"/>
        </w:rPr>
        <w:t>mouth.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16"/>
        </w:rPr>
      </w:pPr>
    </w:p>
    <w:p>
      <w:pPr>
        <w:spacing w:before="118"/>
        <w:ind w:left="340" w:right="0" w:firstLine="0"/>
        <w:jc w:val="left"/>
        <w:rPr>
          <w:rFonts w:ascii="Tahoma"/>
          <w:b/>
          <w:sz w:val="26"/>
        </w:rPr>
      </w:pPr>
      <w:r>
        <w:rPr>
          <w:rFonts w:ascii="Tahoma"/>
          <w:b/>
          <w:color w:val="361E00"/>
          <w:spacing w:val="23"/>
          <w:sz w:val="26"/>
        </w:rPr>
        <w:t>Frequently</w:t>
      </w:r>
      <w:r>
        <w:rPr>
          <w:rFonts w:ascii="Tahoma"/>
          <w:b/>
          <w:color w:val="361E00"/>
          <w:spacing w:val="47"/>
          <w:sz w:val="26"/>
        </w:rPr>
        <w:t> </w:t>
      </w:r>
      <w:r>
        <w:rPr>
          <w:rFonts w:ascii="Tahoma"/>
          <w:b/>
          <w:color w:val="361E00"/>
          <w:spacing w:val="20"/>
          <w:sz w:val="26"/>
        </w:rPr>
        <w:t>Asked</w:t>
      </w:r>
      <w:r>
        <w:rPr>
          <w:rFonts w:ascii="Tahoma"/>
          <w:b/>
          <w:color w:val="361E00"/>
          <w:spacing w:val="47"/>
          <w:sz w:val="26"/>
        </w:rPr>
        <w:t> </w:t>
      </w:r>
      <w:r>
        <w:rPr>
          <w:rFonts w:ascii="Tahoma"/>
          <w:b/>
          <w:color w:val="361E00"/>
          <w:spacing w:val="21"/>
          <w:sz w:val="26"/>
        </w:rPr>
        <w:t>Questions </w:t>
      </w:r>
    </w:p>
    <w:p>
      <w:pPr>
        <w:pStyle w:val="BodyText"/>
        <w:spacing w:before="8"/>
        <w:rPr>
          <w:rFonts w:ascii="Tahoma"/>
          <w:b/>
          <w:sz w:val="17"/>
        </w:rPr>
      </w:pPr>
    </w:p>
    <w:p>
      <w:pPr>
        <w:spacing w:after="0"/>
        <w:rPr>
          <w:rFonts w:ascii="Tahoma"/>
          <w:sz w:val="17"/>
        </w:rPr>
        <w:sectPr>
          <w:type w:val="continuous"/>
          <w:pgSz w:w="12240" w:h="15840"/>
          <w:pgMar w:top="620" w:bottom="0" w:left="420" w:right="1560"/>
        </w:sect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126" w:after="0"/>
        <w:ind w:left="700" w:right="0" w:hanging="360"/>
        <w:jc w:val="left"/>
        <w:rPr>
          <w:i/>
        </w:rPr>
      </w:pPr>
      <w:r>
        <w:rPr>
          <w:i/>
          <w:color w:val="361E00"/>
        </w:rPr>
        <w:t>What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causes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Colored</w:t>
      </w:r>
      <w:r>
        <w:rPr>
          <w:i/>
          <w:color w:val="361E00"/>
          <w:spacing w:val="-10"/>
        </w:rPr>
        <w:t> </w:t>
      </w:r>
      <w:r>
        <w:rPr>
          <w:i/>
          <w:color w:val="361E00"/>
          <w:spacing w:val="-2"/>
        </w:rPr>
        <w:t>Areas?</w:t>
      </w:r>
    </w:p>
    <w:p>
      <w:pPr>
        <w:pStyle w:val="BodyText"/>
        <w:spacing w:line="271" w:lineRule="auto" w:before="95"/>
        <w:ind w:left="700" w:right="229"/>
        <w:rPr>
          <w:rFonts w:ascii="Trebuchet MS"/>
        </w:rPr>
      </w:pPr>
      <w:r>
        <w:rPr>
          <w:rFonts w:ascii="Tahoma"/>
          <w:b/>
          <w:color w:val="361E00"/>
        </w:rPr>
        <w:t>Red/Purple Areas </w:t>
      </w:r>
      <w:r>
        <w:rPr>
          <w:rFonts w:ascii="Trebuchet MS"/>
          <w:color w:val="361E00"/>
        </w:rPr>
        <w:t>are most often an indication of inflammation, </w:t>
      </w:r>
      <w:r>
        <w:rPr>
          <w:color w:val="361E00"/>
          <w:w w:val="105"/>
        </w:rPr>
        <w:t>infection,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trauma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or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surface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blood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vessels.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Blood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conditions</w:t>
      </w:r>
      <w:r>
        <w:rPr>
          <w:color w:val="361E00"/>
          <w:spacing w:val="-3"/>
          <w:w w:val="105"/>
        </w:rPr>
        <w:t> </w:t>
      </w:r>
      <w:r>
        <w:rPr>
          <w:color w:val="361E00"/>
          <w:w w:val="105"/>
        </w:rPr>
        <w:t>such </w:t>
      </w:r>
      <w:r>
        <w:rPr>
          <w:color w:val="361E00"/>
          <w:w w:val="110"/>
        </w:rPr>
        <w:t>as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thrombocytopenia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and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amyloidosis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can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create</w:t>
      </w:r>
      <w:r>
        <w:rPr>
          <w:color w:val="361E00"/>
          <w:spacing w:val="-12"/>
          <w:w w:val="110"/>
        </w:rPr>
        <w:t> </w:t>
      </w:r>
      <w:r>
        <w:rPr>
          <w:color w:val="361E00"/>
          <w:w w:val="110"/>
        </w:rPr>
        <w:t>red/purple areas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in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your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mouth.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People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who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smoke,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have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dry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mouth</w:t>
      </w:r>
      <w:r>
        <w:rPr>
          <w:color w:val="361E00"/>
          <w:spacing w:val="-10"/>
          <w:w w:val="110"/>
        </w:rPr>
        <w:t> </w:t>
      </w:r>
      <w:r>
        <w:rPr>
          <w:color w:val="361E00"/>
          <w:w w:val="110"/>
        </w:rPr>
        <w:t>or </w:t>
      </w:r>
      <w:r>
        <w:rPr>
          <w:color w:val="361E00"/>
          <w:w w:val="105"/>
        </w:rPr>
        <w:t>have a weakened immune system are more susceptible to yeast </w:t>
      </w:r>
      <w:r>
        <w:rPr>
          <w:rFonts w:ascii="Trebuchet MS"/>
          <w:color w:val="361E00"/>
          <w:w w:val="105"/>
        </w:rPr>
        <w:t>infections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that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cause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inflammation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and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may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appear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as</w:t>
      </w:r>
      <w:r>
        <w:rPr>
          <w:rFonts w:ascii="Trebuchet MS"/>
          <w:color w:val="361E00"/>
          <w:spacing w:val="-7"/>
          <w:w w:val="105"/>
        </w:rPr>
        <w:t> </w:t>
      </w:r>
      <w:r>
        <w:rPr>
          <w:rFonts w:ascii="Trebuchet MS"/>
          <w:color w:val="361E00"/>
          <w:w w:val="105"/>
        </w:rPr>
        <w:t>reddened</w:t>
      </w:r>
    </w:p>
    <w:p>
      <w:pPr>
        <w:pStyle w:val="BodyText"/>
        <w:spacing w:line="271" w:lineRule="auto"/>
        <w:ind w:left="700" w:right="26"/>
      </w:pPr>
      <w:r>
        <w:rPr>
          <w:color w:val="361E00"/>
          <w:w w:val="105"/>
        </w:rPr>
        <w:t>areas with a white covering. Oral infections may be reddened and appear raised when compared to the surrounding tissue. People </w:t>
      </w:r>
      <w:r>
        <w:rPr>
          <w:rFonts w:ascii="Trebuchet MS"/>
          <w:color w:val="361E00"/>
          <w:w w:val="105"/>
        </w:rPr>
        <w:t>with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bite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problems,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broken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teeth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or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an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ill-fitting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denture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may</w:t>
      </w:r>
      <w:r>
        <w:rPr>
          <w:rFonts w:ascii="Trebuchet MS"/>
          <w:color w:val="361E00"/>
          <w:spacing w:val="-12"/>
          <w:w w:val="105"/>
        </w:rPr>
        <w:t> </w:t>
      </w:r>
      <w:r>
        <w:rPr>
          <w:rFonts w:ascii="Trebuchet MS"/>
          <w:color w:val="361E00"/>
          <w:w w:val="105"/>
        </w:rPr>
        <w:t>have traumatized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or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inflamed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tissues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that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look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red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and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even</w:t>
      </w:r>
      <w:r>
        <w:rPr>
          <w:rFonts w:ascii="Trebuchet MS"/>
          <w:color w:val="361E00"/>
          <w:spacing w:val="-2"/>
          <w:w w:val="105"/>
        </w:rPr>
        <w:t> </w:t>
      </w:r>
      <w:r>
        <w:rPr>
          <w:rFonts w:ascii="Trebuchet MS"/>
          <w:color w:val="361E00"/>
          <w:w w:val="105"/>
        </w:rPr>
        <w:t>ulcerated. </w:t>
      </w:r>
      <w:r>
        <w:rPr>
          <w:color w:val="361E00"/>
          <w:w w:val="105"/>
        </w:rPr>
        <w:t>Blood vessels tend to become more apparent in your mouth as you age and they show up as red/dark purple bumps.</w:t>
      </w:r>
    </w:p>
    <w:p>
      <w:pPr>
        <w:pStyle w:val="BodyText"/>
        <w:spacing w:line="271" w:lineRule="auto" w:before="58"/>
        <w:ind w:left="700" w:right="26"/>
      </w:pPr>
      <w:r>
        <w:rPr>
          <w:rFonts w:ascii="Tahoma"/>
          <w:b/>
          <w:color w:val="361E00"/>
          <w:spacing w:val="-2"/>
          <w:w w:val="110"/>
        </w:rPr>
        <w:t>Brown</w:t>
      </w:r>
      <w:r>
        <w:rPr>
          <w:rFonts w:ascii="Tahoma"/>
          <w:b/>
          <w:color w:val="361E00"/>
          <w:spacing w:val="-13"/>
          <w:w w:val="110"/>
        </w:rPr>
        <w:t> </w:t>
      </w:r>
      <w:r>
        <w:rPr>
          <w:rFonts w:ascii="Tahoma"/>
          <w:b/>
          <w:color w:val="361E00"/>
          <w:spacing w:val="-2"/>
          <w:w w:val="110"/>
        </w:rPr>
        <w:t>Areas</w:t>
      </w:r>
      <w:r>
        <w:rPr>
          <w:rFonts w:ascii="Tahoma"/>
          <w:b/>
          <w:color w:val="361E00"/>
          <w:spacing w:val="-14"/>
          <w:w w:val="110"/>
        </w:rPr>
        <w:t> </w:t>
      </w:r>
      <w:r>
        <w:rPr>
          <w:color w:val="361E00"/>
          <w:spacing w:val="-2"/>
          <w:w w:val="110"/>
        </w:rPr>
        <w:t>are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usually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caused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by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pigmentation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in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the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gums</w:t>
      </w:r>
      <w:r>
        <w:rPr>
          <w:color w:val="361E00"/>
          <w:spacing w:val="-10"/>
          <w:w w:val="110"/>
        </w:rPr>
        <w:t> </w:t>
      </w:r>
      <w:r>
        <w:rPr>
          <w:color w:val="361E00"/>
          <w:spacing w:val="-2"/>
          <w:w w:val="110"/>
        </w:rPr>
        <w:t>or </w:t>
      </w:r>
      <w:r>
        <w:rPr>
          <w:color w:val="361E00"/>
          <w:w w:val="105"/>
        </w:rPr>
        <w:t>lining of your mouth. Ethnic populations with darker skin tones tend </w:t>
      </w:r>
      <w:r>
        <w:rPr>
          <w:color w:val="361E00"/>
          <w:w w:val="110"/>
        </w:rPr>
        <w:t>to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have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these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brown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areas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and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are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a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variation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of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normal</w:t>
      </w:r>
      <w:r>
        <w:rPr>
          <w:color w:val="361E00"/>
          <w:spacing w:val="-7"/>
          <w:w w:val="110"/>
        </w:rPr>
        <w:t> </w:t>
      </w:r>
      <w:r>
        <w:rPr>
          <w:color w:val="361E00"/>
          <w:w w:val="110"/>
        </w:rPr>
        <w:t>mouth tissue appearance.</w:t>
      </w:r>
    </w:p>
    <w:p>
      <w:pPr>
        <w:pStyle w:val="BodyText"/>
        <w:spacing w:line="268" w:lineRule="auto" w:before="67"/>
        <w:ind w:left="700" w:right="153"/>
      </w:pPr>
      <w:r>
        <w:rPr>
          <w:rFonts w:ascii="Tahoma" w:hAnsi="Tahoma"/>
          <w:b/>
          <w:color w:val="361E00"/>
          <w:w w:val="105"/>
        </w:rPr>
        <w:t>Black</w:t>
      </w:r>
      <w:r>
        <w:rPr>
          <w:rFonts w:ascii="Tahoma" w:hAnsi="Tahoma"/>
          <w:b/>
          <w:color w:val="361E00"/>
          <w:spacing w:val="-13"/>
          <w:w w:val="105"/>
        </w:rPr>
        <w:t> </w:t>
      </w:r>
      <w:r>
        <w:rPr>
          <w:rFonts w:ascii="Tahoma" w:hAnsi="Tahoma"/>
          <w:b/>
          <w:color w:val="361E00"/>
          <w:w w:val="105"/>
        </w:rPr>
        <w:t>Areas</w:t>
      </w:r>
      <w:r>
        <w:rPr>
          <w:rFonts w:ascii="Tahoma" w:hAnsi="Tahoma"/>
          <w:b/>
          <w:color w:val="361E00"/>
          <w:spacing w:val="-14"/>
          <w:w w:val="105"/>
        </w:rPr>
        <w:t> </w:t>
      </w:r>
      <w:r>
        <w:rPr>
          <w:color w:val="361E00"/>
          <w:w w:val="105"/>
        </w:rPr>
        <w:t>are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usually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benign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“amalgam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tattoos”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and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occur</w:t>
      </w:r>
      <w:r>
        <w:rPr>
          <w:color w:val="361E00"/>
          <w:spacing w:val="-10"/>
          <w:w w:val="105"/>
        </w:rPr>
        <w:t> </w:t>
      </w:r>
      <w:r>
        <w:rPr>
          <w:color w:val="361E00"/>
          <w:w w:val="105"/>
        </w:rPr>
        <w:t>when gums or tissues are traumatized during the placement or removal </w:t>
      </w:r>
      <w:r>
        <w:rPr>
          <w:rFonts w:ascii="Trebuchet MS" w:hAnsi="Trebuchet MS"/>
          <w:color w:val="361E00"/>
          <w:w w:val="105"/>
        </w:rPr>
        <w:t>of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silver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fillings.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Amalgam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tattoos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do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not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grow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or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change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over</w:t>
      </w:r>
      <w:r>
        <w:rPr>
          <w:rFonts w:ascii="Trebuchet MS" w:hAnsi="Trebuchet MS"/>
          <w:color w:val="361E00"/>
          <w:spacing w:val="-12"/>
          <w:w w:val="105"/>
        </w:rPr>
        <w:t> </w:t>
      </w:r>
      <w:r>
        <w:rPr>
          <w:rFonts w:ascii="Trebuchet MS" w:hAnsi="Trebuchet MS"/>
          <w:color w:val="361E00"/>
          <w:w w:val="105"/>
        </w:rPr>
        <w:t>time </w:t>
      </w:r>
      <w:r>
        <w:rPr>
          <w:color w:val="361E00"/>
          <w:w w:val="105"/>
        </w:rPr>
        <w:t>and do not pose a health risk. However, black areas can indicate</w:t>
      </w:r>
    </w:p>
    <w:p>
      <w:pPr>
        <w:pStyle w:val="BodyText"/>
        <w:spacing w:line="271" w:lineRule="auto" w:before="5"/>
        <w:ind w:left="700" w:right="229"/>
      </w:pPr>
      <w:r>
        <w:rPr>
          <w:color w:val="361E00"/>
          <w:spacing w:val="-2"/>
          <w:w w:val="110"/>
        </w:rPr>
        <w:t>a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more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serious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condition,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so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it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is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important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to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have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your</w:t>
      </w:r>
      <w:r>
        <w:rPr>
          <w:color w:val="361E00"/>
          <w:spacing w:val="-11"/>
          <w:w w:val="110"/>
        </w:rPr>
        <w:t> </w:t>
      </w:r>
      <w:r>
        <w:rPr>
          <w:color w:val="361E00"/>
          <w:spacing w:val="-2"/>
          <w:w w:val="110"/>
        </w:rPr>
        <w:t>dentist </w:t>
      </w:r>
      <w:r>
        <w:rPr>
          <w:color w:val="361E00"/>
          <w:w w:val="110"/>
        </w:rPr>
        <w:t>determine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what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has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caused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this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darker</w:t>
      </w:r>
      <w:r>
        <w:rPr>
          <w:color w:val="361E00"/>
          <w:spacing w:val="-6"/>
          <w:w w:val="110"/>
        </w:rPr>
        <w:t> </w:t>
      </w:r>
      <w:r>
        <w:rPr>
          <w:color w:val="361E00"/>
          <w:w w:val="110"/>
        </w:rPr>
        <w:t>coloration.</w:t>
      </w:r>
    </w:p>
    <w:p>
      <w:pPr>
        <w:pStyle w:val="BodyText"/>
        <w:spacing w:before="10"/>
        <w:rPr>
          <w:sz w:val="27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0" w:after="0"/>
        <w:ind w:left="700" w:right="0" w:hanging="360"/>
        <w:jc w:val="left"/>
        <w:rPr>
          <w:i/>
        </w:rPr>
      </w:pPr>
      <w:r>
        <w:rPr>
          <w:i/>
          <w:color w:val="361E00"/>
        </w:rPr>
        <w:t>What</w:t>
      </w:r>
      <w:r>
        <w:rPr>
          <w:i/>
          <w:color w:val="361E00"/>
          <w:spacing w:val="-8"/>
        </w:rPr>
        <w:t> </w:t>
      </w:r>
      <w:r>
        <w:rPr>
          <w:i/>
          <w:color w:val="361E00"/>
        </w:rPr>
        <w:t>is</w:t>
      </w:r>
      <w:r>
        <w:rPr>
          <w:i/>
          <w:color w:val="361E00"/>
          <w:spacing w:val="-8"/>
        </w:rPr>
        <w:t> </w:t>
      </w:r>
      <w:r>
        <w:rPr>
          <w:i/>
          <w:color w:val="361E00"/>
        </w:rPr>
        <w:t>my</w:t>
      </w:r>
      <w:r>
        <w:rPr>
          <w:i/>
          <w:color w:val="361E00"/>
          <w:spacing w:val="-8"/>
        </w:rPr>
        <w:t> </w:t>
      </w:r>
      <w:r>
        <w:rPr>
          <w:i/>
          <w:color w:val="361E00"/>
        </w:rPr>
        <w:t>role</w:t>
      </w:r>
      <w:r>
        <w:rPr>
          <w:i/>
          <w:color w:val="361E00"/>
          <w:spacing w:val="-8"/>
        </w:rPr>
        <w:t> </w:t>
      </w:r>
      <w:r>
        <w:rPr>
          <w:i/>
          <w:color w:val="361E00"/>
        </w:rPr>
        <w:t>in</w:t>
      </w:r>
      <w:r>
        <w:rPr>
          <w:i/>
          <w:color w:val="361E00"/>
          <w:spacing w:val="-7"/>
        </w:rPr>
        <w:t> </w:t>
      </w:r>
      <w:r>
        <w:rPr>
          <w:i/>
          <w:color w:val="361E00"/>
        </w:rPr>
        <w:t>managing</w:t>
      </w:r>
      <w:r>
        <w:rPr>
          <w:i/>
          <w:color w:val="361E00"/>
          <w:spacing w:val="-8"/>
        </w:rPr>
        <w:t> </w:t>
      </w:r>
      <w:r>
        <w:rPr>
          <w:i/>
          <w:color w:val="361E00"/>
        </w:rPr>
        <w:t>Colored</w:t>
      </w:r>
      <w:r>
        <w:rPr>
          <w:i/>
          <w:color w:val="361E00"/>
          <w:spacing w:val="-8"/>
        </w:rPr>
        <w:t> </w:t>
      </w:r>
      <w:r>
        <w:rPr>
          <w:i/>
          <w:color w:val="361E00"/>
          <w:spacing w:val="-2"/>
        </w:rPr>
        <w:t>Areas?</w:t>
      </w:r>
    </w:p>
    <w:p>
      <w:pPr>
        <w:pStyle w:val="BodyText"/>
        <w:spacing w:line="271" w:lineRule="auto" w:before="108"/>
        <w:ind w:left="700" w:right="26"/>
      </w:pPr>
      <w:r>
        <w:rPr>
          <w:color w:val="361E00"/>
          <w:w w:val="110"/>
        </w:rPr>
        <w:t>Note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the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size,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location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and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duration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of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the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area.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Determine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if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it</w:t>
      </w:r>
      <w:r>
        <w:rPr>
          <w:color w:val="361E00"/>
          <w:spacing w:val="-8"/>
          <w:w w:val="110"/>
        </w:rPr>
        <w:t> </w:t>
      </w:r>
      <w:r>
        <w:rPr>
          <w:color w:val="361E00"/>
          <w:w w:val="110"/>
        </w:rPr>
        <w:t>is </w:t>
      </w:r>
      <w:r>
        <w:rPr>
          <w:color w:val="361E00"/>
          <w:w w:val="105"/>
        </w:rPr>
        <w:t>painful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and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recall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if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you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may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have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traumatized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the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area.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If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a</w:t>
      </w:r>
      <w:r>
        <w:rPr>
          <w:color w:val="361E00"/>
          <w:spacing w:val="-1"/>
          <w:w w:val="105"/>
        </w:rPr>
        <w:t> </w:t>
      </w:r>
      <w:r>
        <w:rPr>
          <w:color w:val="361E00"/>
          <w:w w:val="105"/>
        </w:rPr>
        <w:t>colored </w:t>
      </w:r>
      <w:r>
        <w:rPr>
          <w:color w:val="361E00"/>
          <w:w w:val="110"/>
        </w:rPr>
        <w:t>area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persists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beyond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one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week,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have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it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examined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by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your</w:t>
      </w:r>
      <w:r>
        <w:rPr>
          <w:color w:val="361E00"/>
          <w:spacing w:val="-15"/>
          <w:w w:val="110"/>
        </w:rPr>
        <w:t> </w:t>
      </w:r>
      <w:r>
        <w:rPr>
          <w:color w:val="361E00"/>
          <w:w w:val="110"/>
        </w:rPr>
        <w:t>dentist.</w:t>
      </w:r>
    </w:p>
    <w:p>
      <w:pPr>
        <w:pStyle w:val="BodyText"/>
        <w:spacing w:before="9"/>
        <w:rPr>
          <w:sz w:val="27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1" w:after="0"/>
        <w:ind w:left="700" w:right="0" w:hanging="360"/>
        <w:jc w:val="left"/>
        <w:rPr>
          <w:i/>
        </w:rPr>
      </w:pPr>
      <w:r>
        <w:rPr>
          <w:i/>
          <w:color w:val="361E00"/>
        </w:rPr>
        <w:t>What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will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happen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if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I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do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nothing</w:t>
      </w:r>
      <w:r>
        <w:rPr>
          <w:i/>
          <w:color w:val="361E00"/>
          <w:spacing w:val="-10"/>
        </w:rPr>
        <w:t> </w:t>
      </w:r>
      <w:r>
        <w:rPr>
          <w:i/>
          <w:color w:val="361E00"/>
        </w:rPr>
        <w:t>about</w:t>
      </w:r>
      <w:r>
        <w:rPr>
          <w:i/>
          <w:color w:val="361E00"/>
          <w:spacing w:val="-9"/>
        </w:rPr>
        <w:t> </w:t>
      </w:r>
      <w:r>
        <w:rPr>
          <w:i/>
          <w:color w:val="361E00"/>
        </w:rPr>
        <w:t>Colored</w:t>
      </w:r>
      <w:r>
        <w:rPr>
          <w:i/>
          <w:color w:val="361E00"/>
          <w:spacing w:val="-10"/>
        </w:rPr>
        <w:t> </w:t>
      </w:r>
      <w:r>
        <w:rPr>
          <w:i/>
          <w:color w:val="361E00"/>
          <w:spacing w:val="-2"/>
        </w:rPr>
        <w:t>Areas?</w:t>
      </w:r>
    </w:p>
    <w:p>
      <w:pPr>
        <w:pStyle w:val="BodyText"/>
        <w:spacing w:line="268" w:lineRule="auto" w:before="107"/>
        <w:ind w:left="700" w:right="26"/>
      </w:pPr>
      <w:r>
        <w:rPr>
          <w:rFonts w:ascii="Trebuchet MS"/>
          <w:color w:val="231F20"/>
          <w:w w:val="105"/>
        </w:rPr>
        <w:t>Although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some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colored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areas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are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normal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variations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of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mouth</w:t>
      </w:r>
      <w:r>
        <w:rPr>
          <w:rFonts w:ascii="Trebuchet MS"/>
          <w:color w:val="231F20"/>
          <w:spacing w:val="-9"/>
          <w:w w:val="105"/>
        </w:rPr>
        <w:t> </w:t>
      </w:r>
      <w:r>
        <w:rPr>
          <w:rFonts w:ascii="Trebuchet MS"/>
          <w:color w:val="231F20"/>
          <w:w w:val="105"/>
        </w:rPr>
        <w:t>tissue, </w:t>
      </w:r>
      <w:r>
        <w:rPr>
          <w:color w:val="231F20"/>
          <w:w w:val="105"/>
        </w:rPr>
        <w:t>many indicate underlying disease processes. If your colored area is </w:t>
      </w:r>
      <w:r>
        <w:rPr>
          <w:rFonts w:ascii="Trebuchet MS"/>
          <w:color w:val="231F20"/>
          <w:w w:val="105"/>
        </w:rPr>
        <w:t>caused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by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inflammation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or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infection,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it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will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likely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get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worse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as</w:t>
      </w:r>
      <w:r>
        <w:rPr>
          <w:rFonts w:ascii="Trebuchet MS"/>
          <w:color w:val="231F20"/>
          <w:spacing w:val="-10"/>
          <w:w w:val="105"/>
        </w:rPr>
        <w:t> </w:t>
      </w:r>
      <w:r>
        <w:rPr>
          <w:rFonts w:ascii="Trebuchet MS"/>
          <w:color w:val="231F20"/>
          <w:w w:val="105"/>
        </w:rPr>
        <w:t>time </w:t>
      </w:r>
      <w:r>
        <w:rPr>
          <w:color w:val="231F20"/>
          <w:w w:val="105"/>
        </w:rPr>
        <w:t>goes on. If it is caused by ongoing trauma, it will also worsen with </w:t>
      </w:r>
      <w:r>
        <w:rPr>
          <w:rFonts w:ascii="Trebuchet MS"/>
          <w:color w:val="231F20"/>
          <w:w w:val="105"/>
        </w:rPr>
        <w:t>time.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In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the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rare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event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that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it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is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cancer,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it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can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lead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to</w:t>
      </w:r>
      <w:r>
        <w:rPr>
          <w:rFonts w:ascii="Trebuchet MS"/>
          <w:color w:val="231F20"/>
          <w:spacing w:val="-15"/>
          <w:w w:val="105"/>
        </w:rPr>
        <w:t> </w:t>
      </w:r>
      <w:r>
        <w:rPr>
          <w:rFonts w:ascii="Trebuchet MS"/>
          <w:color w:val="231F20"/>
          <w:w w:val="105"/>
        </w:rPr>
        <w:t>disfigurement </w:t>
      </w:r>
      <w:r>
        <w:rPr>
          <w:color w:val="231F20"/>
          <w:w w:val="105"/>
        </w:rPr>
        <w:t>or death if not diagnosed and treated in a timely manner.</w:t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"/>
      </w:pPr>
    </w:p>
    <w:p>
      <w:pPr>
        <w:spacing w:before="0"/>
        <w:ind w:left="340" w:right="0" w:firstLine="0"/>
        <w:jc w:val="left"/>
        <w:rPr>
          <w:rFonts w:ascii="Trebuchet MS"/>
          <w:sz w:val="18"/>
        </w:rPr>
      </w:pPr>
      <w:r>
        <w:rPr>
          <w:rFonts w:ascii="Trebuchet MS"/>
          <w:color w:val="361E00"/>
          <w:w w:val="105"/>
          <w:sz w:val="18"/>
        </w:rPr>
        <w:t>Gum</w:t>
      </w:r>
      <w:r>
        <w:rPr>
          <w:rFonts w:ascii="Trebuchet MS"/>
          <w:color w:val="361E00"/>
          <w:spacing w:val="7"/>
          <w:w w:val="105"/>
          <w:sz w:val="18"/>
        </w:rPr>
        <w:t> </w:t>
      </w:r>
      <w:r>
        <w:rPr>
          <w:rFonts w:ascii="Trebuchet MS"/>
          <w:color w:val="361E00"/>
          <w:spacing w:val="-2"/>
          <w:w w:val="105"/>
          <w:sz w:val="18"/>
        </w:rPr>
        <w:t>inflammation</w:t>
      </w:r>
    </w:p>
    <w:p>
      <w:pPr>
        <w:pStyle w:val="BodyText"/>
        <w:rPr>
          <w:rFonts w:ascii="Trebuchet MS"/>
          <w:sz w:val="24"/>
        </w:rPr>
      </w:pPr>
    </w:p>
    <w:p>
      <w:pPr>
        <w:pStyle w:val="BodyText"/>
        <w:rPr>
          <w:rFonts w:ascii="Trebuchet MS"/>
          <w:sz w:val="24"/>
        </w:rPr>
      </w:pPr>
    </w:p>
    <w:p>
      <w:pPr>
        <w:pStyle w:val="BodyText"/>
        <w:rPr>
          <w:rFonts w:ascii="Trebuchet MS"/>
          <w:sz w:val="24"/>
        </w:rPr>
      </w:pPr>
    </w:p>
    <w:p>
      <w:pPr>
        <w:pStyle w:val="BodyText"/>
        <w:rPr>
          <w:rFonts w:ascii="Trebuchet MS"/>
          <w:sz w:val="24"/>
        </w:rPr>
      </w:pPr>
    </w:p>
    <w:p>
      <w:pPr>
        <w:pStyle w:val="BodyText"/>
        <w:rPr>
          <w:rFonts w:ascii="Trebuchet MS"/>
          <w:sz w:val="24"/>
        </w:rPr>
      </w:pPr>
    </w:p>
    <w:p>
      <w:pPr>
        <w:pStyle w:val="BodyText"/>
        <w:spacing w:before="5"/>
        <w:rPr>
          <w:rFonts w:ascii="Trebuchet MS"/>
          <w:sz w:val="28"/>
        </w:rPr>
      </w:pPr>
    </w:p>
    <w:p>
      <w:pPr>
        <w:spacing w:before="0"/>
        <w:ind w:left="350" w:right="0" w:firstLine="0"/>
        <w:jc w:val="left"/>
        <w:rPr>
          <w:sz w:val="18"/>
        </w:rPr>
      </w:pPr>
      <w:r>
        <w:rPr>
          <w:color w:val="361E00"/>
          <w:w w:val="105"/>
          <w:sz w:val="18"/>
        </w:rPr>
        <w:t>Gum</w:t>
      </w:r>
      <w:r>
        <w:rPr>
          <w:color w:val="361E00"/>
          <w:spacing w:val="-11"/>
          <w:w w:val="105"/>
          <w:sz w:val="18"/>
        </w:rPr>
        <w:t> </w:t>
      </w:r>
      <w:r>
        <w:rPr>
          <w:color w:val="361E00"/>
          <w:spacing w:val="-2"/>
          <w:w w:val="105"/>
          <w:sz w:val="18"/>
        </w:rPr>
        <w:t>pigmentation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before="189"/>
        <w:ind w:left="448" w:right="0" w:firstLine="0"/>
        <w:jc w:val="left"/>
        <w:rPr>
          <w:rFonts w:ascii="Trebuchet MS"/>
          <w:sz w:val="18"/>
        </w:rPr>
      </w:pPr>
      <w:r>
        <w:rPr>
          <w:rFonts w:ascii="Trebuchet MS"/>
          <w:color w:val="361E00"/>
          <w:w w:val="105"/>
          <w:sz w:val="18"/>
        </w:rPr>
        <w:t>Amalgam</w:t>
      </w:r>
      <w:r>
        <w:rPr>
          <w:rFonts w:ascii="Trebuchet MS"/>
          <w:color w:val="361E00"/>
          <w:spacing w:val="4"/>
          <w:w w:val="105"/>
          <w:sz w:val="18"/>
        </w:rPr>
        <w:t> </w:t>
      </w:r>
      <w:r>
        <w:rPr>
          <w:rFonts w:ascii="Trebuchet MS"/>
          <w:color w:val="361E00"/>
          <w:spacing w:val="-2"/>
          <w:w w:val="105"/>
          <w:sz w:val="18"/>
        </w:rPr>
        <w:t>Tattoo</w:t>
      </w:r>
    </w:p>
    <w:p>
      <w:pPr>
        <w:spacing w:after="0"/>
        <w:jc w:val="left"/>
        <w:rPr>
          <w:rFonts w:ascii="Trebuchet MS"/>
          <w:sz w:val="18"/>
        </w:rPr>
        <w:sectPr>
          <w:type w:val="continuous"/>
          <w:pgSz w:w="12240" w:h="15840"/>
          <w:pgMar w:top="620" w:bottom="0" w:left="420" w:right="1560"/>
          <w:cols w:num="2" w:equalWidth="0">
            <w:col w:w="7086" w:space="1132"/>
            <w:col w:w="2042"/>
          </w:cols>
        </w:sectPr>
      </w:pPr>
    </w:p>
    <w:p>
      <w:pPr>
        <w:pStyle w:val="BodyText"/>
        <w:rPr>
          <w:rFonts w:ascii="Trebuchet MS"/>
        </w:rPr>
      </w:pPr>
      <w:r>
        <w:rPr/>
        <w:pict>
          <v:group style="position:absolute;margin-left:23pt;margin-top:23pt;width:566pt;height:746pt;mso-position-horizontal-relative:page;mso-position-vertical-relative:page;z-index:-15778816" id="docshapegroup1" coordorigin="460,460" coordsize="11320,14920">
            <v:rect style="position:absolute;left:490;top:490;width:11260;height:2456" id="docshape2" filled="true" fillcolor="#f0e1ce" stroked="false">
              <v:fill type="solid"/>
            </v:rect>
            <v:shape style="position:absolute;left:490;top:490;width:11260;height:14860" id="docshape3" coordorigin="490,490" coordsize="11260,14860" path="m490,2946l11750,2946,11750,490,490,490,490,2946xm490,15350l11750,15350,11750,2958,490,2958,490,15350xe" filled="false" stroked="true" strokeweight="3pt" strokecolor="#f0e1ce">
              <v:path arrowok="t"/>
              <v:stroke dashstyle="solid"/>
            </v:shape>
            <v:shape style="position:absolute;left:8016;top:3540;width:3444;height:2274" type="#_x0000_t75" id="docshape4" stroked="false">
              <v:imagedata r:id="rId5" o:title=""/>
            </v:shape>
            <v:shape style="position:absolute;left:8015;top:6148;width:3445;height:1585" type="#_x0000_t75" id="docshape5" stroked="false">
              <v:imagedata r:id="rId6" o:title=""/>
            </v:shape>
            <v:shape style="position:absolute;left:8016;top:8085;width:3444;height:2274" type="#_x0000_t75" id="docshape6" stroked="false">
              <v:imagedata r:id="rId7" o:title=""/>
            </v:shape>
            <v:rect style="position:absolute;left:9542;top:9384;width:1304;height:771" id="docshape7" filled="true" fillcolor="#231f20" stroked="false">
              <v:fill opacity="22937f" type="solid"/>
            </v:rect>
            <v:line style="position:absolute" from="10533,9933" to="9632,9493" stroked="true" strokeweight="4.592pt" strokecolor="#d2232a">
              <v:stroke dashstyle="solid"/>
            </v:line>
            <v:shape style="position:absolute;left:10336;top:9745;width:390;height:282" type="#_x0000_t75" id="docshape8" stroked="false">
              <v:imagedata r:id="rId8" o:title=""/>
            </v:shape>
            <w10:wrap type="none"/>
          </v:group>
        </w:pict>
      </w:r>
    </w:p>
    <w:p>
      <w:pPr>
        <w:pStyle w:val="BodyText"/>
        <w:rPr>
          <w:rFonts w:ascii="Trebuchet MS"/>
        </w:rPr>
      </w:pPr>
    </w:p>
    <w:p>
      <w:pPr>
        <w:pStyle w:val="BodyText"/>
        <w:rPr>
          <w:rFonts w:ascii="Trebuchet MS"/>
        </w:rPr>
      </w:pPr>
    </w:p>
    <w:p>
      <w:pPr>
        <w:pStyle w:val="BodyText"/>
        <w:rPr>
          <w:rFonts w:ascii="Trebuchet MS"/>
        </w:rPr>
      </w:pPr>
    </w:p>
    <w:p>
      <w:pPr>
        <w:pStyle w:val="BodyText"/>
        <w:rPr>
          <w:rFonts w:ascii="Trebuchet MS"/>
        </w:rPr>
      </w:pPr>
    </w:p>
    <w:p>
      <w:pPr>
        <w:pStyle w:val="BodyText"/>
        <w:spacing w:before="11"/>
        <w:rPr>
          <w:rFonts w:ascii="Trebuchet MS"/>
          <w:sz w:val="17"/>
        </w:rPr>
      </w:pPr>
    </w:p>
    <w:p>
      <w:pPr>
        <w:spacing w:before="121"/>
        <w:ind w:left="103" w:right="0" w:firstLine="0"/>
        <w:jc w:val="left"/>
        <w:rPr>
          <w:sz w:val="16"/>
        </w:rPr>
      </w:pPr>
      <w:r>
        <w:rPr>
          <w:color w:val="231F20"/>
          <w:sz w:val="16"/>
        </w:rPr>
        <w:t>©</w:t>
      </w:r>
      <w:r>
        <w:rPr>
          <w:color w:val="231F20"/>
          <w:spacing w:val="4"/>
          <w:sz w:val="16"/>
        </w:rPr>
        <w:t> </w:t>
      </w:r>
      <w:r>
        <w:rPr>
          <w:color w:val="231F20"/>
          <w:sz w:val="16"/>
        </w:rPr>
        <w:t>2016</w:t>
      </w:r>
      <w:r>
        <w:rPr>
          <w:color w:val="231F20"/>
          <w:spacing w:val="5"/>
          <w:sz w:val="16"/>
        </w:rPr>
        <w:t> </w:t>
      </w:r>
      <w:r>
        <w:rPr>
          <w:color w:val="231F20"/>
          <w:sz w:val="16"/>
        </w:rPr>
        <w:t>Kois</w:t>
      </w:r>
      <w:r>
        <w:rPr>
          <w:color w:val="231F20"/>
          <w:spacing w:val="5"/>
          <w:sz w:val="16"/>
        </w:rPr>
        <w:t> </w:t>
      </w:r>
      <w:r>
        <w:rPr>
          <w:color w:val="231F20"/>
          <w:sz w:val="16"/>
        </w:rPr>
        <w:t>Center,</w:t>
      </w:r>
      <w:r>
        <w:rPr>
          <w:color w:val="231F20"/>
          <w:spacing w:val="5"/>
          <w:sz w:val="16"/>
        </w:rPr>
        <w:t> </w:t>
      </w:r>
      <w:r>
        <w:rPr>
          <w:color w:val="231F20"/>
          <w:spacing w:val="-5"/>
          <w:sz w:val="16"/>
        </w:rPr>
        <w:t>LLC</w:t>
      </w:r>
    </w:p>
    <w:sectPr>
      <w:type w:val="continuous"/>
      <w:pgSz w:w="12240" w:h="15840"/>
      <w:pgMar w:top="620" w:bottom="0" w:left="42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00" w:hanging="360"/>
        <w:jc w:val="left"/>
      </w:pPr>
      <w:rPr>
        <w:rFonts w:hint="default" w:ascii="Trebuchet MS" w:hAnsi="Trebuchet MS" w:eastAsia="Trebuchet MS" w:cs="Trebuchet MS"/>
        <w:b/>
        <w:bCs/>
        <w:i/>
        <w:iCs/>
        <w:color w:val="361E00"/>
        <w:w w:val="87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9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6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80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700" w:hanging="360"/>
      <w:outlineLvl w:val="1"/>
    </w:pPr>
    <w:rPr>
      <w:rFonts w:ascii="Trebuchet MS" w:hAnsi="Trebuchet MS" w:eastAsia="Trebuchet MS" w:cs="Trebuchet MS"/>
      <w:b/>
      <w:bCs/>
      <w:i/>
      <w:iCs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64" w:line="555" w:lineRule="exact"/>
      <w:ind w:left="1140"/>
      <w:jc w:val="center"/>
    </w:pPr>
    <w:rPr>
      <w:rFonts w:ascii="Palatino Linotype" w:hAnsi="Palatino Linotype" w:eastAsia="Palatino Linotype" w:cs="Palatino Linotype"/>
      <w:b/>
      <w:bCs/>
      <w:sz w:val="42"/>
      <w:szCs w:val="4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00" w:hanging="360"/>
    </w:pPr>
    <w:rPr>
      <w:rFonts w:ascii="Trebuchet MS" w:hAnsi="Trebuchet MS" w:eastAsia="Trebuchet MS" w:cs="Trebuchet MS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2025-07-12T05:04:33Z</dcterms:created>
  <dcterms:modified xsi:type="dcterms:W3CDTF">2025-07-12T05:04:33Z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2025-07-12T00:00:00Z</vt:filetime>
  </property>
  <property fmtid="{D5CDD505-2E9C-101B-9397-08002B2CF9AE}" pid="5" name="Producer">
    <vt:lpwstr>Adobe PDF Library 15.0</vt:lpwstr>
  </property>
</Properties>
</file>